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134.png" ContentType="image/png"/>
  <Override PartName="/word/media/rId44.png" ContentType="image/png"/>
  <Override PartName="/word/media/rId136.png" ContentType="image/png"/>
  <Override PartName="/word/media/rId114.png" ContentType="image/png"/>
  <Override PartName="/word/media/rId53.jpg" ContentType="image/jpeg"/>
  <Override PartName="/word/media/rId41.png" ContentType="image/png"/>
  <Override PartName="/word/media/rId69.png" ContentType="image/png"/>
  <Override PartName="/word/media/rId56.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2.png" ContentType="image/png"/>
  <Override PartName="/word/media/rId132.png" ContentType="image/png"/>
  <Override PartName="/word/media/rId47.png" ContentType="image/png"/>
  <Override PartName="/word/media/rId109.jpg" ContentType="image/jpeg"/>
  <Override PartName="/word/media/rId130.jpg" ContentType="image/jpe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its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We do</w:t>
      </w:r>
      <w:r>
        <w:t xml:space="preserve"> </w:t>
      </w:r>
      <w:r>
        <w:rPr>
          <w:i/>
        </w:rPr>
        <w:t xml:space="preserve">not</w:t>
      </w:r>
      <w:r>
        <w:t xml:space="preserve"> </w:t>
      </w:r>
      <w:r>
        <w:t xml:space="preserve">have a CPU (at least, not one like that in a standard computer -- more on this in a moment).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 "mental CPU"-like capacity whenever you take on a fundamentally novel task. For example, when you first learn to drive a car, you rely on this same kind of sequential, deliberate process that consumes all of your attention, as you keep reminding yourself of what you are supposed to be doing at each point in time.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FigureWithCaption"/>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color of the word &quot;Green&quot; when it is written in red ink (the Conflict condition), the automatic process of reading dominates over the relatively rare process of naming ink color, and you have to deploy controlled processing, which takes extra time as show in the plotted data. Reading words (bottom line) isn't affected much by the ink color one way or another -- the well-trained brain networks supporting this process just proceed in parallel without any supervision required. Interestingly, even when the response is identical in the Congruent case, the task of color naming is still slower than word reading, reflecting the extra control being exerted. The Control condition involves either non-color 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color of the word "Green" 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 in the plotted data. Reading words (bottom line) isn't affected much by the ink color one way or another -- the well-trained brain networks supporting this process just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 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 [</w:t>
      </w:r>
      <w:r>
        <w:t xml:space="preserve">Stroop (</w:t>
      </w:r>
      <w:hyperlink w:anchor="ref-Stroop35">
        <w:r>
          <w:rPr>
            <w:rStyle w:val="Hyperlink"/>
          </w:rPr>
          <w:t xml:space="preserve">1935</w:t>
        </w:r>
      </w:hyperlink>
      <w:r>
        <w:t xml:space="preserve">)</w:t>
      </w:r>
      <w:r>
        <w:t xml:space="preserve">; MacLeod91].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where a color word (e.g., "Green") is written in a different ink color (e.g., red), it takes extra cognitive control to prevent yourself from just blurting out the word ("Green"),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3" w:name="what-it-takes-to-be-a-computer"/>
      <w:bookmarkEnd w:id="133"/>
      <w:r>
        <w:t xml:space="preserve">What it takes to be a Computer</w:t>
      </w:r>
    </w:p>
    <w:p>
      <w:pPr>
        <w:pStyle w:val="FirstParagraph"/>
      </w:pPr>
      <w:r>
        <w:t xml:space="preserve">The human brain is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w:t>
      </w:r>
      <w:r>
        <w:t xml:space="preserve"> </w:t>
      </w:r>
      <w:r>
        <w:rPr>
          <w:i/>
        </w:rPr>
        <w:t xml:space="preserve">natural language</w:t>
      </w:r>
      <w:r>
        <w:t xml:space="preserve"> </w:t>
      </w:r>
      <w:r>
        <w:t xml:space="preserve">as a kind of programming language. There is abundant evidence that we routinely use verbal self-instruction to remind ourselves of what we're supposed to do next in a complex, novel task.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numId w:val="1044"/>
          <w:ilvl w:val="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FigureWithCaption"/>
      </w:pPr>
      <w:r>
        <w:drawing>
          <wp:inline>
            <wp:extent cx="5943600" cy="2138654"/>
            <wp:effectExtent b="0" l="0" r="0" t="0"/>
            <wp:docPr descr="Fig 7-4: How the basal ganglia (BG) can &quot;gate&quot; information into different parts of prefrontal cortex (PFC) to achieve a flexible kind of variable binding like that needed for digital computers. In this case, the BG can flexibly control whether a given word / concept (&quot;Max&quot;) is encoded as the agent or patient in a given sentence / scenario, based on other available cues or context."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w:t>
      </w:r>
    </w:p>
    <w:p>
      <w:pPr>
        <w:pStyle w:val="BodyText"/>
      </w:pPr>
      <w:r>
        <w:t xml:space="preserve">Consistent with the central role of the frontal cortex in making our mental computer work, this brain area (particularlly the part of it in front of the primary motor area -- the</w:t>
      </w:r>
      <w:r>
        <w:t xml:space="preserve"> </w:t>
      </w:r>
      <w:r>
        <w:rPr>
          <w:b/>
        </w:rPr>
        <w:t xml:space="preserve">prefrontal cortex</w:t>
      </w:r>
      <w:r>
        <w:t xml:space="preserve">) is differentially expanded in humans relative to other primates and mammals more generally. Thus, a simple story is that our unique mental computer skills are due to this expanded brain area. However, we still do not know exactly how neurons in this brain area come to act like a computer program (see Figure 7-4 and</w:t>
      </w:r>
      <w:r>
        <w:t xml:space="preserve"> </w:t>
      </w:r>
      <w:r>
        <w:t xml:space="preserve">(R. O’Reilly</w:t>
      </w:r>
      <w:r>
        <w:t xml:space="preserve"> </w:t>
      </w:r>
      <w:hyperlink w:anchor="ref-OReilly06">
        <w:r>
          <w:rPr>
            <w:rStyle w:val="Hyperlink"/>
          </w:rPr>
          <w:t xml:space="preserve">2006</w:t>
        </w:r>
      </w:hyperlink>
      <w:r>
        <w:t xml:space="preserve">)</w:t>
      </w:r>
      <w:r>
        <w:t xml:space="preserve"> </w:t>
      </w:r>
      <w:r>
        <w:t xml:space="preserve">for some ideas). One thing we do know, however, is that the capacity of our prefrontal working memory system is dramatically smaller than that of even the most primitive digital computer. Thus, we are left with this rather startling conclusion: our super huge brains packed with neurons are in many ways no match for a simple serial computational device composed of just a few basic parts. Indeed, growing up in the era when cheap digital calculators first became widely available, it became very clear that while our brains are impressive in some ways, they pale in comparison to a dime-store calculator for doing basic arithmetic!</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However, we first consider an alternative possibility for at least some individual differences in intelligence.</w:t>
      </w:r>
    </w:p>
    <w:p>
      <w:pPr>
        <w:pStyle w:val="Heading3"/>
      </w:pPr>
      <w:bookmarkStart w:id="135" w:name="individual-differences-in-prefrontal-cortex-basal-ganglia"/>
      <w:bookmarkEnd w:id="135"/>
      <w:r>
        <w:t xml:space="preserve">Individual Differences in Prefrontal Cortex / Basal Ganglia?</w:t>
      </w:r>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then there could be a kind of snowballing effect where small initial differences in these brain areas could multiply over time, leading to larger overall differences in measured IQ scores. This kind of scenario is most similar to the "traditional" 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w:t>
      </w:r>
      <w:r>
        <w:rPr>
          <w:b/>
        </w:rPr>
        <w:t xml:space="preserve">???</w:t>
      </w:r>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case showed that measured IQ scores can be relatively intact even with significant early frontal brain damage</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 "lapsing" -- just failing to engage in the task on a given trial. However, when the did engage, their measured working memory capacity was essentially the same as those who had a high working memory capacity score overall, due to a high level of task engagement. Thus, consistent with the overall importance of motivation, it may be the critical "third factor" that drives the relationship between measured working memory and intelligence scores.</w:t>
      </w:r>
    </w:p>
    <w:p>
      <w:pPr>
        <w:pStyle w:val="FigureWithCaption"/>
      </w:pPr>
      <w:r>
        <w:drawing>
          <wp:inline>
            <wp:extent cx="5943600" cy="5301980"/>
            <wp:effectExtent b="0" l="0" r="0" t="0"/>
            <wp:docPr descr="Fig 7-5: Correlation between brain activity and functional connectivity, and measured general intelligence (Hearne et al, 2016). The &quot;default-mode network&quot; areas in red are primary emotional / motivational areas in frontal cortex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and functional connectivity, and measured general intelligence (Hearne et al, 2016). The "default-mode network" areas in red are primary emotional / motivational areas in frontal cortex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(around 4-7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somewhat like a serial computer.</w:t>
      </w:r>
    </w:p>
    <w:p>
      <w:pPr>
        <w:pStyle w:val="Heading2"/>
      </w:pPr>
      <w:bookmarkStart w:id="137" w:name="strengths-weaknesses-and-biases-of-our-neural-computer"/>
      <w:bookmarkEnd w:id="137"/>
      <w:r>
        <w:t xml:space="preserve">Strengths, Weaknesses, and Biases of our Neural Computer</w:t>
      </w:r>
    </w:p>
    <w:p>
      <w:pPr>
        <w:numPr>
          <w:numId w:val="1045"/>
          <w:ilvl w:val="0"/>
        </w:numPr>
      </w:pPr>
      <w:r>
        <w:t xml:space="preserve">computers can do prodigious amounts of math &amp; statistics, very quickly</w:t>
      </w:r>
    </w:p>
    <w:p>
      <w:pPr>
        <w:numPr>
          <w:numId w:val="1045"/>
          <w:ilvl w:val="0"/>
        </w:numPr>
      </w:pPr>
      <w:r>
        <w:t xml:space="preserve">we kinda suck at that stuff</w:t>
      </w:r>
    </w:p>
    <w:p>
      <w:pPr>
        <w:numPr>
          <w:numId w:val="1045"/>
          <w:ilvl w:val="0"/>
        </w:numPr>
      </w:pPr>
      <w:r>
        <w:t xml:space="preserve">but we have neurons!! those neurons can use</w:t>
      </w:r>
      <w:r>
        <w:t xml:space="preserve"> </w:t>
      </w:r>
      <w:r>
        <w:rPr>
          <w:i/>
        </w:rPr>
        <w:t xml:space="preserve">parallel</w:t>
      </w:r>
      <w:r>
        <w:t xml:space="preserve"> </w:t>
      </w:r>
      <w:r>
        <w:t xml:space="preserve">pattern recognition kinds of strategies to solve problems in a "pragmatic" way..</w:t>
      </w:r>
    </w:p>
    <w:p>
      <w:pPr>
        <w:numPr>
          <w:numId w:val="1045"/>
          <w:ilvl w:val="0"/>
        </w:numPr>
      </w:pPr>
      <w:r>
        <w:t xml:space="preserve">heuristics and biases..</w:t>
      </w:r>
    </w:p>
    <w:p>
      <w:pPr>
        <w:pStyle w:val="Heading2"/>
      </w:pPr>
      <w:bookmarkStart w:id="138" w:name="measuring-intelligence-and-its-implications"/>
      <w:bookmarkEnd w:id="138"/>
      <w:r>
        <w:t xml:space="preserve">Measuring Intelligence and its Implications</w:t>
      </w:r>
    </w:p>
    <w:p>
      <w:pPr>
        <w:numPr>
          <w:numId w:val="1046"/>
          <w:ilvl w:val="0"/>
        </w:numPr>
      </w:pPr>
      <w:r>
        <w:t xml:space="preserve">IQ tests</w:t>
      </w:r>
    </w:p>
    <w:p>
      <w:pPr>
        <w:numPr>
          <w:numId w:val="1046"/>
          <w:ilvl w:val="0"/>
        </w:numPr>
      </w:pPr>
      <w:r>
        <w:t xml:space="preserve">Multiple intelligences</w:t>
      </w:r>
    </w:p>
    <w:p>
      <w:pPr>
        <w:numPr>
          <w:numId w:val="1046"/>
          <w:ilvl w:val="0"/>
        </w:numPr>
      </w:pPr>
      <w:r>
        <w:t xml:space="preserve">real-world implications</w:t>
      </w:r>
    </w:p>
    <w:p>
      <w:pPr>
        <w:numPr>
          <w:numId w:val="1046"/>
          <w:ilvl w:val="0"/>
        </w:numPr>
      </w:pPr>
      <w:r>
        <w:t xml:space="preserve">Dweck etc</w:t>
      </w:r>
    </w:p>
    <w:p>
      <w:pPr>
        <w:numPr>
          <w:numId w:val="1046"/>
          <w:ilvl w:val="0"/>
        </w:numPr>
      </w:pPr>
      <w:r>
        <w:t xml:space="preserve">Vogel WM study</w:t>
      </w:r>
    </w:p>
    <w:p>
      <w:pPr>
        <w:numPr>
          <w:numId w:val="1046"/>
          <w:ilvl w:val="0"/>
        </w:numPr>
      </w:pPr>
      <w:r>
        <w:t xml:space="preserve">Miyake &amp; Friedman and the genetic basis of IQ: gets stronger over time, just like a learning system.</w:t>
      </w:r>
    </w:p>
    <w:p>
      <w:pPr>
        <w:numPr>
          <w:numId w:val="1046"/>
          <w:ilvl w:val="0"/>
        </w:numPr>
      </w:pPr>
      <w:r>
        <w:t xml:space="preserve">important considerations in interpreting genetic results..</w:t>
      </w:r>
    </w:p>
    <w:p>
      <w:pPr>
        <w:pStyle w:val="NewPage"/>
      </w:pPr>
      <w:r>
        <w:t xml:space="preserve"/>
      </w:r>
    </w:p>
    <w:p>
      <w:pPr>
        <w:pStyle w:val="Heading1"/>
      </w:pPr>
      <w:bookmarkStart w:id="139" w:name="chapter-8-language"/>
      <w:bookmarkEnd w:id="139"/>
      <w:r>
        <w:t xml:space="preserve">Chapter 8: Language</w:t>
      </w:r>
    </w:p>
    <w:p>
      <w:pPr>
        <w:pStyle w:val="NewPage"/>
      </w:pPr>
      <w:r>
        <w:t xml:space="preserve"/>
      </w:r>
    </w:p>
    <w:p>
      <w:pPr>
        <w:pStyle w:val="Heading1"/>
      </w:pPr>
      <w:bookmarkStart w:id="140" w:name="acknowledgments"/>
      <w:bookmarkEnd w:id="140"/>
      <w:r>
        <w:t xml:space="preserve">Acknowledgments</w:t>
      </w:r>
    </w:p>
    <w:p>
      <w:pPr>
        <w:pStyle w:val="FirstParagraph"/>
      </w:pPr>
      <w:r>
        <w:t xml:space="preserve">Thanks to the current beta-testers for reading!</w:t>
      </w:r>
    </w:p>
    <w:p>
      <w:pPr>
        <w:pStyle w:val="NewPage"/>
      </w:pPr>
      <w:r>
        <w:t xml:space="preserve"/>
      </w:r>
    </w:p>
    <w:p>
      <w:pPr>
        <w:pStyle w:val="Heading1"/>
      </w:pPr>
      <w:bookmarkStart w:id="141" w:name="glossary"/>
      <w:bookmarkEnd w:id="141"/>
      <w:r>
        <w:t xml:space="preserve">Glossary</w:t>
      </w:r>
    </w:p>
    <w:p>
      <w:pPr>
        <w:pStyle w:val="NewPage"/>
      </w:pPr>
      <w:r>
        <w:t xml:space="preserve"/>
      </w:r>
    </w:p>
    <w:p>
      <w:pPr>
        <w:pStyle w:val="Heading1"/>
      </w:pPr>
      <w:bookmarkStart w:id="142" w:name="about-the-authors"/>
      <w:bookmarkEnd w:id="142"/>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43" w:name="references"/>
      <w:bookmarkEnd w:id="143"/>
      <w:r>
        <w:t xml:space="preserve">References</w:t>
      </w:r>
    </w:p>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 doi:</w:t>
      </w:r>
      <w:hyperlink r:id="rId144">
        <w:r>
          <w:rPr>
            <w:rStyle w:val="Hyperlink"/>
          </w:rPr>
          <w:t xml:space="preserve">10.3758/s13423-016-1019-4</w:t>
        </w:r>
      </w:hyperlink>
      <w:r>
        <w:t xml:space="preserve">.</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45">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46">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47">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48">
        <w:r>
          <w:rPr>
            <w:rStyle w:val="Hyperlink"/>
          </w:rPr>
          <w:t xml:space="preserve">10.1006/ccog.1994.1022</w:t>
        </w:r>
      </w:hyperlink>
      <w:r>
        <w:t xml:space="preserve">.</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49">
        <w:r>
          <w:rPr>
            <w:rStyle w:val="Hyperlink"/>
          </w:rPr>
          <w:t xml:space="preserve">10.1037/h0046671</w:t>
        </w:r>
      </w:hyperlink>
      <w:r>
        <w:t xml:space="preserve">.</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50">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(January): 19–23.</w:t>
      </w:r>
    </w:p>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 doi:</w:t>
      </w:r>
      <w:hyperlink r:id="rId151">
        <w:r>
          <w:rPr>
            <w:rStyle w:val="Hyperlink"/>
          </w:rPr>
          <w:t xml:space="preserve">10.1177/1745691617720478</w:t>
        </w:r>
      </w:hyperlink>
      <w:r>
        <w:t xml:space="preserve">.</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52">
        <w:r>
          <w:rPr>
            <w:rStyle w:val="Hyperlink"/>
          </w:rPr>
          <w:t xml:space="preserve">10.1146/annurev.psych.47.1.273</w:t>
        </w:r>
      </w:hyperlink>
      <w:r>
        <w:t xml:space="preserve">.</w:t>
      </w:r>
    </w:p>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 doi:</w:t>
      </w:r>
      <w:hyperlink r:id="rId153">
        <w:r>
          <w:rPr>
            <w:rStyle w:val="Hyperlink"/>
          </w:rPr>
          <w:t xml:space="preserve">10.1016/S0278-2626(03)00281-1</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54">
        <w:r>
          <w:rPr>
            <w:rStyle w:val="Hyperlink"/>
          </w:rPr>
          <w:t xml:space="preserve">10.1126/science.163.3873.1358</w:t>
        </w:r>
      </w:hyperlink>
      <w:r>
        <w:t xml:space="preserve">.</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55">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 doi:</w:t>
      </w:r>
      <w:hyperlink r:id="rId156">
        <w:r>
          <w:rPr>
            <w:rStyle w:val="Hyperlink"/>
          </w:rPr>
          <w:t xml:space="preserve">10.1038/srep32328</w:t>
        </w:r>
      </w:hyperlink>
      <w:r>
        <w:t xml:space="preserve">.</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57">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58">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59">
        <w:r>
          <w:rPr>
            <w:rStyle w:val="Hyperlink"/>
          </w:rPr>
          <w:t xml:space="preserve">10.1038/nrn.2016.150</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60">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61">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62">
        <w:r>
          <w:rPr>
            <w:rStyle w:val="Hyperlink"/>
          </w:rPr>
          <w:t xml:space="preserve">10.1098/rstb.2001.0945</w:t>
        </w:r>
      </w:hyperlink>
      <w:r>
        <w:t xml:space="preserve">.</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O’Reilly, R.C. 2006. “Biologically Based Computational Models of High-Level Cognition.”</w:t>
      </w:r>
      <w:r>
        <w:t xml:space="preserve"> </w:t>
      </w:r>
      <w:r>
        <w:rPr>
          <w:i/>
        </w:rPr>
        <w:t xml:space="preserve">Science</w:t>
      </w:r>
      <w:r>
        <w:t xml:space="preserve"> </w:t>
      </w:r>
      <w:r>
        <w:t xml:space="preserve">314 (5796): 91–94.</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63">
        <w:r>
          <w:rPr>
            <w:rStyle w:val="Hyperlink"/>
          </w:rPr>
          <w:t xml:space="preserve">10.1038/nature03687</w:t>
        </w:r>
      </w:hyperlink>
      <w:r>
        <w:t xml:space="preserve">.</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164">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65">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66">
        <w:r>
          <w:rPr>
            <w:rStyle w:val="Hyperlink"/>
          </w:rPr>
          <w:t xml:space="preserve">10.1038/nature24270</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67">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168">
        <w:r>
          <w:rPr>
            <w:rStyle w:val="Hyperlink"/>
          </w:rPr>
          <w:t xml:space="preserve">10.1112/plms/s2-42.1.230</w:t>
        </w:r>
      </w:hyperlink>
      <w:r>
        <w:t xml:space="preserve">.</w:t>
      </w:r>
    </w:p>
    <w:p>
      <w:pPr>
        <w:pStyle w:val="Bibliography"/>
      </w:pPr>
      <w:r>
        <w:t xml:space="preserve">von Neumann, John. 1945. “First Draft of a Report on the EDVAC.”</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e0e4e05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d3e628b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f436203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36" Target="media/rId136.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21" Target="http://www.sansforgetica.rmit/" TargetMode="External" /><Relationship Type="http://schemas.openxmlformats.org/officeDocument/2006/relationships/hyperlink" Id="rId148" Target="https://doi.org/10.1006/ccog.1994.1022" TargetMode="External" /><Relationship Type="http://schemas.openxmlformats.org/officeDocument/2006/relationships/hyperlink" Id="rId147" Target="https://doi.org/10.1007/BF03392017" TargetMode="External" /><Relationship Type="http://schemas.openxmlformats.org/officeDocument/2006/relationships/hyperlink" Id="rId146" Target="https://doi.org/10.1016/0306-4522(89)90423-5" TargetMode="External" /><Relationship Type="http://schemas.openxmlformats.org/officeDocument/2006/relationships/hyperlink" Id="rId160" Target="https://doi.org/10.1016/S0022-5371(74)80011-3" TargetMode="External" /><Relationship Type="http://schemas.openxmlformats.org/officeDocument/2006/relationships/hyperlink" Id="rId153" Target="https://doi.org/10.1016/S0278-2626(03)00281-1" TargetMode="External" /><Relationship Type="http://schemas.openxmlformats.org/officeDocument/2006/relationships/hyperlink" Id="rId165" Target="https://doi.org/10.1016/j.conb.2015.05.001" TargetMode="External" /><Relationship Type="http://schemas.openxmlformats.org/officeDocument/2006/relationships/hyperlink" Id="rId155" Target="https://doi.org/10.1016/j.dr.2003.09.007" TargetMode="External" /><Relationship Type="http://schemas.openxmlformats.org/officeDocument/2006/relationships/hyperlink" Id="rId164" Target="https://doi.org/10.1037/0278-7393.21.4.803" TargetMode="External" /><Relationship Type="http://schemas.openxmlformats.org/officeDocument/2006/relationships/hyperlink" Id="rId149" Target="https://doi.org/10.1037/h0046671" TargetMode="External" /><Relationship Type="http://schemas.openxmlformats.org/officeDocument/2006/relationships/hyperlink" Id="rId167" Target="https://doi.org/10.1037/h0093759" TargetMode="External" /><Relationship Type="http://schemas.openxmlformats.org/officeDocument/2006/relationships/hyperlink" Id="rId163" Target="https://doi.org/10.1038/nature03687" TargetMode="External" /><Relationship Type="http://schemas.openxmlformats.org/officeDocument/2006/relationships/hyperlink" Id="rId166" Target="https://doi.org/10.1038/nature24270" TargetMode="External" /><Relationship Type="http://schemas.openxmlformats.org/officeDocument/2006/relationships/hyperlink" Id="rId159" Target="https://doi.org/10.1038/nrn.2016.150" TargetMode="External" /><Relationship Type="http://schemas.openxmlformats.org/officeDocument/2006/relationships/hyperlink" Id="rId156" Target="https://doi.org/10.1038/srep32328" TargetMode="External" /><Relationship Type="http://schemas.openxmlformats.org/officeDocument/2006/relationships/hyperlink" Id="rId161" Target="https://doi.org/10.1098/rstb.1971.0078" TargetMode="External" /><Relationship Type="http://schemas.openxmlformats.org/officeDocument/2006/relationships/hyperlink" Id="rId162" Target="https://doi.org/10.1098/rstb.2001.0945" TargetMode="External" /><Relationship Type="http://schemas.openxmlformats.org/officeDocument/2006/relationships/hyperlink" Id="rId168" Target="https://doi.org/10.1112/plms/s2-42.1.230" TargetMode="External" /><Relationship Type="http://schemas.openxmlformats.org/officeDocument/2006/relationships/hyperlink" Id="rId157" Target="https://doi.org/10.1113/jphysiol.1952.sp004764" TargetMode="External" /><Relationship Type="http://schemas.openxmlformats.org/officeDocument/2006/relationships/hyperlink" Id="rId154" Target="https://doi.org/10.1126/science.163.3873.1358" TargetMode="External" /><Relationship Type="http://schemas.openxmlformats.org/officeDocument/2006/relationships/hyperlink" Id="rId152" Target="https://doi.org/10.1146/annurev.psych.47.1.273" TargetMode="External" /><Relationship Type="http://schemas.openxmlformats.org/officeDocument/2006/relationships/hyperlink" Id="rId151" Target="https://doi.org/10.1177/1745691617720478" TargetMode="External" /><Relationship Type="http://schemas.openxmlformats.org/officeDocument/2006/relationships/hyperlink" Id="rId158" Target="https://doi.org/10.1521/pedi.2013.27.3.270" TargetMode="External" /><Relationship Type="http://schemas.openxmlformats.org/officeDocument/2006/relationships/hyperlink" Id="rId145" Target="https://doi.org/10.1523/JNEUROSCI.3196-05.2006" TargetMode="External" /><Relationship Type="http://schemas.openxmlformats.org/officeDocument/2006/relationships/hyperlink" Id="rId144" Target="https://doi.org/10.3758/s13423-016-1019-4" TargetMode="External" /><Relationship Type="http://schemas.openxmlformats.org/officeDocument/2006/relationships/hyperlink" Id="rId150"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48" Target="https://doi.org/10.1006/ccog.1994.1022" TargetMode="External" /><Relationship Type="http://schemas.openxmlformats.org/officeDocument/2006/relationships/hyperlink" Id="rId147" Target="https://doi.org/10.1007/BF03392017" TargetMode="External" /><Relationship Type="http://schemas.openxmlformats.org/officeDocument/2006/relationships/hyperlink" Id="rId146" Target="https://doi.org/10.1016/0306-4522(89)90423-5" TargetMode="External" /><Relationship Type="http://schemas.openxmlformats.org/officeDocument/2006/relationships/hyperlink" Id="rId160" Target="https://doi.org/10.1016/S0022-5371(74)80011-3" TargetMode="External" /><Relationship Type="http://schemas.openxmlformats.org/officeDocument/2006/relationships/hyperlink" Id="rId153" Target="https://doi.org/10.1016/S0278-2626(03)00281-1" TargetMode="External" /><Relationship Type="http://schemas.openxmlformats.org/officeDocument/2006/relationships/hyperlink" Id="rId165" Target="https://doi.org/10.1016/j.conb.2015.05.001" TargetMode="External" /><Relationship Type="http://schemas.openxmlformats.org/officeDocument/2006/relationships/hyperlink" Id="rId155" Target="https://doi.org/10.1016/j.dr.2003.09.007" TargetMode="External" /><Relationship Type="http://schemas.openxmlformats.org/officeDocument/2006/relationships/hyperlink" Id="rId164" Target="https://doi.org/10.1037/0278-7393.21.4.803" TargetMode="External" /><Relationship Type="http://schemas.openxmlformats.org/officeDocument/2006/relationships/hyperlink" Id="rId149" Target="https://doi.org/10.1037/h0046671" TargetMode="External" /><Relationship Type="http://schemas.openxmlformats.org/officeDocument/2006/relationships/hyperlink" Id="rId167" Target="https://doi.org/10.1037/h0093759" TargetMode="External" /><Relationship Type="http://schemas.openxmlformats.org/officeDocument/2006/relationships/hyperlink" Id="rId163" Target="https://doi.org/10.1038/nature03687" TargetMode="External" /><Relationship Type="http://schemas.openxmlformats.org/officeDocument/2006/relationships/hyperlink" Id="rId166" Target="https://doi.org/10.1038/nature24270" TargetMode="External" /><Relationship Type="http://schemas.openxmlformats.org/officeDocument/2006/relationships/hyperlink" Id="rId159" Target="https://doi.org/10.1038/nrn.2016.150" TargetMode="External" /><Relationship Type="http://schemas.openxmlformats.org/officeDocument/2006/relationships/hyperlink" Id="rId156" Target="https://doi.org/10.1038/srep32328" TargetMode="External" /><Relationship Type="http://schemas.openxmlformats.org/officeDocument/2006/relationships/hyperlink" Id="rId161" Target="https://doi.org/10.1098/rstb.1971.0078" TargetMode="External" /><Relationship Type="http://schemas.openxmlformats.org/officeDocument/2006/relationships/hyperlink" Id="rId162" Target="https://doi.org/10.1098/rstb.2001.0945" TargetMode="External" /><Relationship Type="http://schemas.openxmlformats.org/officeDocument/2006/relationships/hyperlink" Id="rId168" Target="https://doi.org/10.1112/plms/s2-42.1.230" TargetMode="External" /><Relationship Type="http://schemas.openxmlformats.org/officeDocument/2006/relationships/hyperlink" Id="rId157" Target="https://doi.org/10.1113/jphysiol.1952.sp004764" TargetMode="External" /><Relationship Type="http://schemas.openxmlformats.org/officeDocument/2006/relationships/hyperlink" Id="rId154" Target="https://doi.org/10.1126/science.163.3873.1358" TargetMode="External" /><Relationship Type="http://schemas.openxmlformats.org/officeDocument/2006/relationships/hyperlink" Id="rId152" Target="https://doi.org/10.1146/annurev.psych.47.1.273" TargetMode="External" /><Relationship Type="http://schemas.openxmlformats.org/officeDocument/2006/relationships/hyperlink" Id="rId151" Target="https://doi.org/10.1177/1745691617720478" TargetMode="External" /><Relationship Type="http://schemas.openxmlformats.org/officeDocument/2006/relationships/hyperlink" Id="rId158" Target="https://doi.org/10.1521/pedi.2013.27.3.270" TargetMode="External" /><Relationship Type="http://schemas.openxmlformats.org/officeDocument/2006/relationships/hyperlink" Id="rId145" Target="https://doi.org/10.1523/JNEUROSCI.3196-05.2006" TargetMode="External" /><Relationship Type="http://schemas.openxmlformats.org/officeDocument/2006/relationships/hyperlink" Id="rId144" Target="https://doi.org/10.3758/s13423-016-1019-4" TargetMode="External" /><Relationship Type="http://schemas.openxmlformats.org/officeDocument/2006/relationships/hyperlink" Id="rId150"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2018-11-05T10:45:26Z</dcterms:created>
  <dcterms:modified xsi:type="dcterms:W3CDTF">2018-11-05T10:45:26Z</dcterms:modified>
</cp:coreProperties>
</file>